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0"/>
          <w:iCs w:val="0"/>
          <w:color w:val="1f2024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color w:val="1f2024"/>
          <w:shd w:val="clear" w:color="auto" w:fill="ffffff"/>
          <w:rtl w:val="0"/>
          <w:lang w:val="en-US"/>
        </w:rPr>
        <w:t>Breast Cancer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0"/>
          <w:iCs w:val="0"/>
          <w:color w:val="1f20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0"/>
          <w:iCs w:val="0"/>
          <w:color w:val="1f2024"/>
          <w:shd w:val="clear" w:color="auto" w:fill="ffffff"/>
          <w:rtl w:val="0"/>
        </w:rPr>
      </w:pPr>
      <w:r>
        <w:rPr>
          <w:rFonts w:ascii="Arial" w:hAnsi="Arial"/>
          <w:i w:val="0"/>
          <w:iCs w:val="0"/>
          <w:color w:val="1f2024"/>
          <w:shd w:val="clear" w:color="auto" w:fill="ffffff"/>
          <w:rtl w:val="0"/>
          <w:lang w:val="en-US"/>
        </w:rPr>
        <w:t xml:space="preserve">In 1992, research showed, for the first time with direct evidence, that, </w:t>
      </w:r>
      <w:r>
        <w:rPr>
          <w:rFonts w:ascii="Arial" w:hAnsi="Arial" w:hint="default"/>
          <w:i w:val="0"/>
          <w:iCs w:val="0"/>
          <w:color w:val="1f2024"/>
          <w:shd w:val="clear" w:color="auto" w:fill="ffffff"/>
          <w:rtl w:val="0"/>
          <w:lang w:val="en-US"/>
        </w:rPr>
        <w:t>“</w:t>
      </w:r>
      <w:r>
        <w:rPr>
          <w:rFonts w:ascii="Arial" w:hAnsi="Arial"/>
          <w:i w:val="0"/>
          <w:iCs w:val="0"/>
          <w:color w:val="1f2024"/>
          <w:shd w:val="clear" w:color="auto" w:fill="ffffff"/>
          <w:rtl w:val="0"/>
          <w:lang w:val="en-US"/>
        </w:rPr>
        <w:t>a single amino acid can modulate the behaviour of a human cancer.</w:t>
      </w:r>
      <w:r>
        <w:rPr>
          <w:rFonts w:ascii="Arial" w:hAnsi="Arial" w:hint="default"/>
          <w:i w:val="0"/>
          <w:iCs w:val="0"/>
          <w:color w:val="1f2024"/>
          <w:shd w:val="clear" w:color="auto" w:fill="ffffff"/>
          <w:rtl w:val="0"/>
          <w:lang w:val="en-US"/>
        </w:rPr>
        <w:t xml:space="preserve">” </w:t>
      </w:r>
      <w:r>
        <w:rPr>
          <w:rFonts w:ascii="Arial" w:hAnsi="Arial"/>
          <w:i w:val="0"/>
          <w:iCs w:val="0"/>
          <w:color w:val="1f2024"/>
          <w:shd w:val="clear" w:color="auto" w:fill="ffffff"/>
          <w:rtl w:val="0"/>
          <w:lang w:val="en-US"/>
        </w:rPr>
        <w:t xml:space="preserve">The paper, </w:t>
      </w:r>
      <w:r>
        <w:rPr>
          <w:rStyle w:val="Hyperlink.0"/>
          <w:rFonts w:ascii="Arial" w:cs="Arial" w:hAnsi="Arial" w:eastAsia="Arial"/>
          <w:i w:val="0"/>
          <w:iCs w:val="0"/>
          <w:color w:val="1f2024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i w:val="0"/>
          <w:iCs w:val="0"/>
          <w:color w:val="1f2024"/>
          <w:shd w:val="clear" w:color="auto" w:fill="ffffff"/>
          <w:rtl w:val="0"/>
        </w:rPr>
        <w:instrText xml:space="preserve"> HYPERLINK "https://portlandpress.com/clinsci/article-abstract/82/4/413/75657/Stimulation-of-human-breast-cancers-by-dietary-l?redirectedFrom=fulltext"</w:instrText>
      </w:r>
      <w:r>
        <w:rPr>
          <w:rStyle w:val="Hyperlink.0"/>
          <w:rFonts w:ascii="Arial" w:cs="Arial" w:hAnsi="Arial" w:eastAsia="Arial"/>
          <w:i w:val="0"/>
          <w:iCs w:val="0"/>
          <w:color w:val="1f2024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 w:hint="default"/>
          <w:i w:val="0"/>
          <w:iCs w:val="0"/>
          <w:color w:val="1f2024"/>
          <w:shd w:val="clear" w:color="auto" w:fill="ffffff"/>
          <w:rtl w:val="0"/>
          <w:lang w:val="en-US"/>
        </w:rPr>
        <w:t>“</w:t>
      </w:r>
      <w:r>
        <w:rPr>
          <w:rStyle w:val="Hyperlink.0"/>
          <w:rFonts w:ascii="Arial" w:hAnsi="Arial"/>
          <w:i w:val="0"/>
          <w:iCs w:val="0"/>
          <w:color w:val="1f2024"/>
          <w:shd w:val="clear" w:color="auto" w:fill="ffffff"/>
          <w:rtl w:val="0"/>
          <w:lang w:val="en-US"/>
        </w:rPr>
        <w:t>Stimulation of human breast cancers by dieta</w:t>
      </w:r>
      <w:r>
        <w:rPr>
          <w:rStyle w:val="Hyperlink.0"/>
          <w:rFonts w:ascii="Arial" w:hAnsi="Arial"/>
          <w:i w:val="0"/>
          <w:iCs w:val="0"/>
          <w:color w:val="1f2024"/>
          <w:shd w:val="clear" w:color="auto" w:fill="ffffff"/>
          <w:rtl w:val="0"/>
          <w:lang w:val="en-US"/>
        </w:rPr>
        <w:t>ry L-arginine,</w:t>
      </w:r>
      <w:r>
        <w:rPr>
          <w:rStyle w:val="Hyperlink.0"/>
          <w:rFonts w:ascii="Arial" w:hAnsi="Arial" w:hint="default"/>
          <w:i w:val="0"/>
          <w:iCs w:val="0"/>
          <w:color w:val="1f2024"/>
          <w:shd w:val="clear" w:color="auto" w:fill="ffffff"/>
          <w:rtl w:val="0"/>
          <w:lang w:val="en-US"/>
        </w:rPr>
        <w:t>”</w:t>
      </w:r>
      <w:r>
        <w:rPr>
          <w:rFonts w:ascii="Arial" w:cs="Arial" w:hAnsi="Arial" w:eastAsia="Arial"/>
          <w:i w:val="1"/>
          <w:iCs w:val="1"/>
          <w:color w:val="1f2024"/>
          <w:shd w:val="clear" w:color="auto" w:fill="ffffff"/>
          <w:rtl w:val="0"/>
        </w:rPr>
        <w:fldChar w:fldCharType="end" w:fldLock="0"/>
      </w:r>
      <w:r>
        <w:rPr>
          <w:rFonts w:ascii="Arial" w:hAnsi="Arial"/>
          <w:i w:val="0"/>
          <w:iCs w:val="0"/>
          <w:color w:val="1f2024"/>
          <w:shd w:val="clear" w:color="auto" w:fill="ffffff"/>
          <w:rtl w:val="0"/>
          <w:lang w:val="en-US"/>
        </w:rPr>
        <w:t xml:space="preserve"> appeared in the journal </w:t>
      </w:r>
      <w:r>
        <w:rPr>
          <w:rFonts w:ascii="Arial" w:hAnsi="Arial"/>
          <w:i w:val="1"/>
          <w:iCs w:val="1"/>
          <w:color w:val="1f2024"/>
          <w:shd w:val="clear" w:color="auto" w:fill="ffffff"/>
          <w:rtl w:val="0"/>
          <w:lang w:val="en-US"/>
        </w:rPr>
        <w:t>Clinical Science</w:t>
      </w:r>
      <w:r>
        <w:rPr>
          <w:rFonts w:ascii="Arial" w:hAnsi="Arial"/>
          <w:i w:val="0"/>
          <w:iCs w:val="0"/>
          <w:color w:val="1f2024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0"/>
          <w:iCs w:val="0"/>
          <w:color w:val="1f20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Link"/>
          <w:rFonts w:ascii="Arial" w:cs="Arial" w:hAnsi="Arial" w:eastAsia="Arial"/>
          <w:color w:val="1f2024"/>
          <w:shd w:val="clear" w:color="auto" w:fill="ffffff"/>
          <w:rtl w:val="0"/>
        </w:rPr>
        <w:fldChar w:fldCharType="begin" w:fldLock="0"/>
      </w:r>
      <w:r>
        <w:rPr>
          <w:rStyle w:val="Link"/>
          <w:rFonts w:ascii="Arial" w:cs="Arial" w:hAnsi="Arial" w:eastAsia="Arial"/>
          <w:color w:val="1f2024"/>
          <w:shd w:val="clear" w:color="auto" w:fill="ffffff"/>
          <w:rtl w:val="0"/>
        </w:rPr>
        <w:instrText xml:space="preserve"> HYPERLINK "https://www.ncbi.nlm.nih.gov/pmc/articles/PMC7553549/"</w:instrText>
      </w:r>
      <w:r>
        <w:rPr>
          <w:rStyle w:val="Link"/>
          <w:rFonts w:ascii="Arial" w:cs="Arial" w:hAnsi="Arial" w:eastAsia="Arial"/>
          <w:color w:val="1f2024"/>
          <w:shd w:val="clear" w:color="auto" w:fill="ffffff"/>
          <w:rtl w:val="0"/>
        </w:rPr>
        <w:fldChar w:fldCharType="separate" w:fldLock="0"/>
      </w:r>
      <w:r>
        <w:rPr>
          <w:rStyle w:val="Link"/>
          <w:rFonts w:ascii="Arial" w:hAnsi="Arial"/>
          <w:color w:val="1f2024"/>
          <w:shd w:val="clear" w:color="auto" w:fill="ffffff"/>
          <w:rtl w:val="0"/>
          <w:lang w:val="en-US"/>
        </w:rPr>
        <w:t>More recently, breast cancer reconstructive patients saw improved outcomes when immunonutrition was used preoperatively.</w:t>
      </w:r>
      <w:r>
        <w:rPr>
          <w:rFonts w:ascii="Arial" w:cs="Arial" w:hAnsi="Arial" w:eastAsia="Arial"/>
          <w:color w:val="1f2024"/>
          <w:shd w:val="clear" w:color="auto" w:fill="ffffff"/>
          <w:rtl w:val="0"/>
        </w:rPr>
        <w:fldChar w:fldCharType="end" w:fldLock="0"/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 xml:space="preserve"> Aggregate wound complication rates were lower in the patients in the experimental group. Notably, </w:t>
      </w:r>
      <w:r>
        <w:rPr>
          <w:rFonts w:ascii="Arial" w:hAnsi="Arial" w:hint="default"/>
          <w:color w:val="1f2024"/>
          <w:shd w:val="clear" w:color="auto" w:fill="ffffff"/>
          <w:rtl w:val="0"/>
          <w:lang w:val="en-US"/>
        </w:rPr>
        <w:t>“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>the rate of mastectomy skin flap necrosis was reduced from 24.53% to 8.47%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>.</w:t>
      </w:r>
      <w:r>
        <w:rPr>
          <w:rFonts w:ascii="Arial" w:hAnsi="Arial" w:hint="default"/>
          <w:color w:val="1f2024"/>
          <w:shd w:val="clear" w:color="auto" w:fill="ffffff"/>
          <w:rtl w:val="0"/>
          <w:lang w:val="en-US"/>
        </w:rPr>
        <w:t xml:space="preserve">” 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 xml:space="preserve">This study, </w:t>
      </w:r>
      <w:r>
        <w:rPr>
          <w:rFonts w:ascii="Arial" w:hAnsi="Arial" w:hint="default"/>
          <w:color w:val="1f2024"/>
          <w:shd w:val="clear" w:color="auto" w:fill="ffffff"/>
          <w:rtl w:val="0"/>
          <w:lang w:val="en-US"/>
        </w:rPr>
        <w:t>“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>Impact of Preoperative Immunonutrition on Outcomes of Immediate Breast Reconstruction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>,</w:t>
      </w:r>
      <w:r>
        <w:rPr>
          <w:rFonts w:ascii="Arial" w:hAnsi="Arial" w:hint="default"/>
          <w:color w:val="1f2024"/>
          <w:shd w:val="clear" w:color="auto" w:fill="ffffff"/>
          <w:rtl w:val="0"/>
          <w:lang w:val="en-US"/>
        </w:rPr>
        <w:t xml:space="preserve">” 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>utilized IMPACT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 xml:space="preserve"> Advanced Recovery</w:t>
      </w:r>
      <w:r>
        <w:rPr>
          <w:rFonts w:ascii="Arial" w:hAnsi="Arial" w:hint="default"/>
          <w:color w:val="1f2024"/>
          <w:shd w:val="clear" w:color="auto" w:fill="ffffff"/>
          <w:rtl w:val="0"/>
        </w:rPr>
        <w:t>®</w:t>
      </w:r>
      <w:r>
        <w:rPr>
          <w:rFonts w:ascii="Arial" w:hAnsi="Arial"/>
          <w:color w:val="1f2024"/>
          <w:shd w:val="clear" w:color="auto" w:fill="ffffff"/>
          <w:rtl w:val="0"/>
          <w:lang w:val="en-US"/>
        </w:rPr>
        <w:t>, an immunonutrition product which includes, among other ingredients, L-arginine.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i w:val="0"/>
      <w:iCs w:val="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